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128AC" w14:textId="2A824AA5" w:rsidR="00F57E14" w:rsidRPr="00144E39" w:rsidRDefault="00144E39" w:rsidP="003D386F">
      <w:pPr>
        <w:spacing w:before="120" w:after="120"/>
        <w:jc w:val="center"/>
        <w:rPr>
          <w:rFonts w:ascii="Arial" w:hAnsi="Arial" w:cs="Arial"/>
          <w:b/>
          <w:bCs/>
          <w:sz w:val="28"/>
          <w:szCs w:val="28"/>
        </w:rPr>
      </w:pPr>
      <w:r w:rsidRPr="00144E39">
        <w:rPr>
          <w:rFonts w:ascii="Arial" w:hAnsi="Arial" w:cs="Arial"/>
          <w:b/>
          <w:bCs/>
          <w:sz w:val="28"/>
          <w:szCs w:val="28"/>
        </w:rPr>
        <w:t>ACUERDO</w:t>
      </w:r>
      <w:r w:rsidR="004F0178">
        <w:rPr>
          <w:rFonts w:ascii="Arial" w:hAnsi="Arial" w:cs="Arial"/>
          <w:b/>
          <w:bCs/>
          <w:sz w:val="28"/>
          <w:szCs w:val="28"/>
        </w:rPr>
        <w:t xml:space="preserve"> PARA LA RENOVACIÓN DEL CGPJ Y LA </w:t>
      </w:r>
      <w:r w:rsidR="006D5CB5">
        <w:rPr>
          <w:rFonts w:ascii="Arial" w:hAnsi="Arial" w:cs="Arial"/>
          <w:b/>
          <w:bCs/>
          <w:sz w:val="28"/>
          <w:szCs w:val="28"/>
        </w:rPr>
        <w:t>REFORMA</w:t>
      </w:r>
      <w:r w:rsidR="004F0178">
        <w:rPr>
          <w:rFonts w:ascii="Arial" w:hAnsi="Arial" w:cs="Arial"/>
          <w:b/>
          <w:bCs/>
          <w:sz w:val="28"/>
          <w:szCs w:val="28"/>
        </w:rPr>
        <w:t xml:space="preserve"> DE LA LOPJ Y EL ESTATUTO FISCAL</w:t>
      </w:r>
    </w:p>
    <w:p w14:paraId="4B22F6F9" w14:textId="77777777" w:rsidR="005C4083" w:rsidRDefault="005C4083" w:rsidP="003D386F">
      <w:pPr>
        <w:spacing w:before="120" w:after="120"/>
        <w:jc w:val="center"/>
        <w:rPr>
          <w:rFonts w:ascii="Arial" w:hAnsi="Arial" w:cs="Arial"/>
          <w:sz w:val="24"/>
          <w:szCs w:val="24"/>
        </w:rPr>
      </w:pPr>
    </w:p>
    <w:p w14:paraId="705210A5" w14:textId="563BB1DB" w:rsidR="003D386F" w:rsidRPr="004F0178" w:rsidRDefault="003214CA" w:rsidP="003D386F">
      <w:pPr>
        <w:spacing w:before="120" w:after="12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Bruselas</w:t>
      </w:r>
      <w:r w:rsidR="003D386F" w:rsidRPr="004F0178">
        <w:rPr>
          <w:rFonts w:ascii="Arial" w:hAnsi="Arial" w:cs="Arial"/>
          <w:sz w:val="24"/>
          <w:szCs w:val="24"/>
        </w:rPr>
        <w:t xml:space="preserve">, a </w:t>
      </w:r>
      <w:r>
        <w:rPr>
          <w:rFonts w:ascii="Arial" w:hAnsi="Arial" w:cs="Arial"/>
          <w:sz w:val="24"/>
          <w:szCs w:val="24"/>
        </w:rPr>
        <w:t>25 d</w:t>
      </w:r>
      <w:r w:rsidR="003D386F" w:rsidRPr="004F0178">
        <w:rPr>
          <w:rFonts w:ascii="Arial" w:hAnsi="Arial" w:cs="Arial"/>
          <w:sz w:val="24"/>
          <w:szCs w:val="24"/>
        </w:rPr>
        <w:t xml:space="preserve">e </w:t>
      </w:r>
      <w:r>
        <w:rPr>
          <w:rFonts w:ascii="Arial" w:hAnsi="Arial" w:cs="Arial"/>
          <w:sz w:val="24"/>
          <w:szCs w:val="24"/>
        </w:rPr>
        <w:t>junio</w:t>
      </w:r>
      <w:r w:rsidR="003D386F" w:rsidRPr="004F0178">
        <w:rPr>
          <w:rFonts w:ascii="Arial" w:hAnsi="Arial" w:cs="Arial"/>
          <w:sz w:val="24"/>
          <w:szCs w:val="24"/>
        </w:rPr>
        <w:t xml:space="preserve"> de 202</w:t>
      </w:r>
      <w:r w:rsidR="005117ED">
        <w:rPr>
          <w:rFonts w:ascii="Arial" w:hAnsi="Arial" w:cs="Arial"/>
          <w:sz w:val="24"/>
          <w:szCs w:val="24"/>
        </w:rPr>
        <w:t>4</w:t>
      </w:r>
    </w:p>
    <w:p w14:paraId="175572B2" w14:textId="17699530" w:rsidR="00144E39" w:rsidRPr="00376AE9" w:rsidRDefault="003A00ED" w:rsidP="003D386F">
      <w:pPr>
        <w:spacing w:before="360" w:after="1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 el fin de </w:t>
      </w:r>
      <w:r w:rsidR="004F0178">
        <w:rPr>
          <w:rFonts w:ascii="Arial" w:hAnsi="Arial" w:cs="Arial"/>
          <w:sz w:val="24"/>
          <w:szCs w:val="24"/>
        </w:rPr>
        <w:t>recuperar la normalidad institucional en</w:t>
      </w:r>
      <w:r>
        <w:rPr>
          <w:rFonts w:ascii="Arial" w:hAnsi="Arial" w:cs="Arial"/>
          <w:sz w:val="24"/>
          <w:szCs w:val="24"/>
        </w:rPr>
        <w:t xml:space="preserve"> el Consejo General del Poder Judicial</w:t>
      </w:r>
      <w:r w:rsidR="004F0178">
        <w:rPr>
          <w:rFonts w:ascii="Arial" w:hAnsi="Arial" w:cs="Arial"/>
          <w:sz w:val="24"/>
          <w:szCs w:val="24"/>
        </w:rPr>
        <w:t xml:space="preserve"> y mejorar la Ley Orgánica del Poder Judicial y el Estatuto Fiscal,</w:t>
      </w:r>
      <w:r w:rsidR="00144E39" w:rsidRPr="00376AE9">
        <w:rPr>
          <w:rFonts w:ascii="Arial" w:hAnsi="Arial" w:cs="Arial"/>
          <w:sz w:val="24"/>
          <w:szCs w:val="24"/>
        </w:rPr>
        <w:t xml:space="preserve"> </w:t>
      </w:r>
      <w:r w:rsidR="005C2EA8" w:rsidRPr="00FB593E">
        <w:rPr>
          <w:rFonts w:ascii="Arial" w:hAnsi="Arial" w:cs="Arial"/>
          <w:sz w:val="24"/>
          <w:szCs w:val="24"/>
        </w:rPr>
        <w:t>los Grupos Parlamentarios abajo firmantes</w:t>
      </w:r>
      <w:r w:rsidRPr="00FB593E">
        <w:rPr>
          <w:rFonts w:ascii="Arial" w:hAnsi="Arial" w:cs="Arial"/>
          <w:sz w:val="24"/>
          <w:szCs w:val="24"/>
        </w:rPr>
        <w:t xml:space="preserve"> han </w:t>
      </w:r>
      <w:r w:rsidR="00144E39" w:rsidRPr="00376AE9">
        <w:rPr>
          <w:rFonts w:ascii="Arial" w:hAnsi="Arial" w:cs="Arial"/>
          <w:sz w:val="24"/>
          <w:szCs w:val="24"/>
        </w:rPr>
        <w:t xml:space="preserve">llegado a los siguientes </w:t>
      </w:r>
      <w:r w:rsidR="003D386F" w:rsidRPr="003D386F">
        <w:rPr>
          <w:rFonts w:ascii="Arial" w:hAnsi="Arial" w:cs="Arial"/>
          <w:b/>
          <w:sz w:val="24"/>
          <w:szCs w:val="24"/>
        </w:rPr>
        <w:t>ACUERDOS</w:t>
      </w:r>
      <w:r w:rsidR="00144E39" w:rsidRPr="00376AE9">
        <w:rPr>
          <w:rFonts w:ascii="Arial" w:hAnsi="Arial" w:cs="Arial"/>
          <w:sz w:val="24"/>
          <w:szCs w:val="24"/>
        </w:rPr>
        <w:t>:</w:t>
      </w:r>
    </w:p>
    <w:p w14:paraId="441DC7BE" w14:textId="77777777" w:rsidR="004A01D3" w:rsidRDefault="006D5CB5" w:rsidP="00A322D2">
      <w:pPr>
        <w:spacing w:before="240" w:after="1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Primer</w:t>
      </w:r>
      <w:r w:rsidR="00376AE9" w:rsidRPr="00376AE9">
        <w:rPr>
          <w:rFonts w:ascii="Arial" w:hAnsi="Arial" w:cs="Arial"/>
          <w:b/>
          <w:bCs/>
          <w:sz w:val="24"/>
          <w:szCs w:val="24"/>
        </w:rPr>
        <w:t>o.-</w:t>
      </w:r>
      <w:r w:rsidR="00376AE9" w:rsidRPr="00376AE9">
        <w:rPr>
          <w:rFonts w:ascii="Arial" w:hAnsi="Arial" w:cs="Arial"/>
          <w:sz w:val="24"/>
          <w:szCs w:val="24"/>
        </w:rPr>
        <w:tab/>
      </w:r>
      <w:r w:rsidR="003A00ED" w:rsidRPr="00376AE9">
        <w:rPr>
          <w:rFonts w:ascii="Arial" w:hAnsi="Arial" w:cs="Arial"/>
          <w:sz w:val="24"/>
          <w:szCs w:val="24"/>
        </w:rPr>
        <w:t xml:space="preserve">Tramitar por </w:t>
      </w:r>
      <w:r w:rsidR="009E7089">
        <w:rPr>
          <w:rFonts w:ascii="Arial" w:hAnsi="Arial" w:cs="Arial"/>
          <w:sz w:val="24"/>
          <w:szCs w:val="24"/>
        </w:rPr>
        <w:t xml:space="preserve">el </w:t>
      </w:r>
      <w:r w:rsidR="003A00ED" w:rsidRPr="00376AE9">
        <w:rPr>
          <w:rFonts w:ascii="Arial" w:hAnsi="Arial" w:cs="Arial"/>
          <w:sz w:val="24"/>
          <w:szCs w:val="24"/>
        </w:rPr>
        <w:t xml:space="preserve">procedimiento de urgencia </w:t>
      </w:r>
      <w:r w:rsidR="009E7089">
        <w:rPr>
          <w:rFonts w:ascii="Arial" w:hAnsi="Arial" w:cs="Arial"/>
          <w:sz w:val="24"/>
          <w:szCs w:val="24"/>
        </w:rPr>
        <w:t>l</w:t>
      </w:r>
      <w:r w:rsidR="003A00ED" w:rsidRPr="00376AE9">
        <w:rPr>
          <w:rFonts w:ascii="Arial" w:hAnsi="Arial" w:cs="Arial"/>
          <w:sz w:val="24"/>
          <w:szCs w:val="24"/>
        </w:rPr>
        <w:t xml:space="preserve">a Proposición de Ley </w:t>
      </w:r>
      <w:r w:rsidR="003A00ED">
        <w:rPr>
          <w:rFonts w:ascii="Arial" w:hAnsi="Arial" w:cs="Arial"/>
          <w:sz w:val="24"/>
          <w:szCs w:val="24"/>
        </w:rPr>
        <w:t>O</w:t>
      </w:r>
      <w:r w:rsidR="003A00ED" w:rsidRPr="00376AE9">
        <w:rPr>
          <w:rFonts w:ascii="Arial" w:hAnsi="Arial" w:cs="Arial"/>
          <w:sz w:val="24"/>
          <w:szCs w:val="24"/>
        </w:rPr>
        <w:t xml:space="preserve">rgánica de reforma de la </w:t>
      </w:r>
      <w:r w:rsidR="009E7089">
        <w:rPr>
          <w:rFonts w:ascii="Arial" w:hAnsi="Arial" w:cs="Arial"/>
          <w:sz w:val="24"/>
          <w:szCs w:val="24"/>
        </w:rPr>
        <w:t xml:space="preserve">Ley Orgánica </w:t>
      </w:r>
      <w:r w:rsidR="003A00ED" w:rsidRPr="00376AE9">
        <w:rPr>
          <w:rFonts w:ascii="Arial" w:hAnsi="Arial" w:cs="Arial"/>
          <w:sz w:val="24"/>
          <w:szCs w:val="24"/>
        </w:rPr>
        <w:t xml:space="preserve">del Poder Judicial y del Estatuto </w:t>
      </w:r>
      <w:r w:rsidR="009E7089">
        <w:rPr>
          <w:rFonts w:ascii="Arial" w:hAnsi="Arial" w:cs="Arial"/>
          <w:sz w:val="24"/>
          <w:szCs w:val="24"/>
        </w:rPr>
        <w:t xml:space="preserve">Orgánico </w:t>
      </w:r>
      <w:r w:rsidR="003A00ED" w:rsidRPr="00376AE9">
        <w:rPr>
          <w:rFonts w:ascii="Arial" w:hAnsi="Arial" w:cs="Arial"/>
          <w:sz w:val="24"/>
          <w:szCs w:val="24"/>
        </w:rPr>
        <w:t xml:space="preserve">del Ministerio Fiscal que se adjunta como </w:t>
      </w:r>
      <w:r w:rsidR="003A00ED" w:rsidRPr="004F0178">
        <w:rPr>
          <w:rFonts w:ascii="Arial" w:hAnsi="Arial" w:cs="Arial"/>
          <w:sz w:val="24"/>
          <w:szCs w:val="24"/>
          <w:u w:val="single"/>
        </w:rPr>
        <w:t xml:space="preserve">Anexo </w:t>
      </w:r>
      <w:r w:rsidR="004A01D3" w:rsidRPr="004F0178">
        <w:rPr>
          <w:rFonts w:ascii="Arial" w:hAnsi="Arial" w:cs="Arial"/>
          <w:sz w:val="24"/>
          <w:szCs w:val="24"/>
          <w:u w:val="single"/>
        </w:rPr>
        <w:t>I</w:t>
      </w:r>
      <w:r w:rsidR="003A00ED" w:rsidRPr="00376AE9">
        <w:rPr>
          <w:rFonts w:ascii="Arial" w:hAnsi="Arial" w:cs="Arial"/>
          <w:sz w:val="24"/>
          <w:szCs w:val="24"/>
        </w:rPr>
        <w:t xml:space="preserve">, </w:t>
      </w:r>
      <w:r w:rsidR="009E7089">
        <w:rPr>
          <w:rFonts w:ascii="Arial" w:hAnsi="Arial" w:cs="Arial"/>
          <w:sz w:val="24"/>
          <w:szCs w:val="24"/>
        </w:rPr>
        <w:t>donde</w:t>
      </w:r>
      <w:r w:rsidR="004A01D3">
        <w:rPr>
          <w:rFonts w:ascii="Arial" w:hAnsi="Arial" w:cs="Arial"/>
          <w:sz w:val="24"/>
          <w:szCs w:val="24"/>
        </w:rPr>
        <w:t>:</w:t>
      </w:r>
    </w:p>
    <w:p w14:paraId="45849CE3" w14:textId="77777777" w:rsidR="004A01D3" w:rsidRDefault="003A00ED" w:rsidP="003D386F">
      <w:pPr>
        <w:pStyle w:val="Prrafodelista"/>
        <w:numPr>
          <w:ilvl w:val="0"/>
          <w:numId w:val="1"/>
        </w:numPr>
        <w:spacing w:before="120" w:after="120"/>
        <w:ind w:left="709" w:hanging="567"/>
        <w:contextualSpacing w:val="0"/>
        <w:jc w:val="both"/>
        <w:rPr>
          <w:rFonts w:ascii="Arial" w:hAnsi="Arial" w:cs="Arial"/>
          <w:sz w:val="24"/>
          <w:szCs w:val="24"/>
        </w:rPr>
      </w:pPr>
      <w:r w:rsidRPr="004A01D3">
        <w:rPr>
          <w:rFonts w:ascii="Arial" w:hAnsi="Arial" w:cs="Arial"/>
          <w:sz w:val="24"/>
          <w:szCs w:val="24"/>
        </w:rPr>
        <w:t>se</w:t>
      </w:r>
      <w:r w:rsidR="004A01D3">
        <w:rPr>
          <w:rFonts w:ascii="Arial" w:hAnsi="Arial" w:cs="Arial"/>
          <w:sz w:val="24"/>
          <w:szCs w:val="24"/>
        </w:rPr>
        <w:t xml:space="preserve"> refuerzan las garantías de independencia de jueces y magistrados en el ejercicio de la función jurisdiccional</w:t>
      </w:r>
      <w:r w:rsidRPr="004A01D3">
        <w:rPr>
          <w:rFonts w:ascii="Arial" w:hAnsi="Arial" w:cs="Arial"/>
          <w:sz w:val="24"/>
          <w:szCs w:val="24"/>
        </w:rPr>
        <w:t xml:space="preserve">; </w:t>
      </w:r>
    </w:p>
    <w:p w14:paraId="0B839AA4" w14:textId="77777777" w:rsidR="004A01D3" w:rsidRDefault="003A00ED" w:rsidP="003D386F">
      <w:pPr>
        <w:pStyle w:val="Prrafodelista"/>
        <w:numPr>
          <w:ilvl w:val="0"/>
          <w:numId w:val="1"/>
        </w:numPr>
        <w:spacing w:before="120" w:after="120"/>
        <w:ind w:left="709" w:hanging="567"/>
        <w:contextualSpacing w:val="0"/>
        <w:jc w:val="both"/>
        <w:rPr>
          <w:rFonts w:ascii="Arial" w:hAnsi="Arial" w:cs="Arial"/>
          <w:sz w:val="24"/>
          <w:szCs w:val="24"/>
        </w:rPr>
      </w:pPr>
      <w:r w:rsidRPr="004A01D3">
        <w:rPr>
          <w:rFonts w:ascii="Arial" w:hAnsi="Arial" w:cs="Arial"/>
          <w:sz w:val="24"/>
          <w:szCs w:val="24"/>
        </w:rPr>
        <w:t xml:space="preserve">se </w:t>
      </w:r>
      <w:r w:rsidR="004F0178">
        <w:rPr>
          <w:rFonts w:ascii="Arial" w:hAnsi="Arial" w:cs="Arial"/>
          <w:sz w:val="24"/>
          <w:szCs w:val="24"/>
        </w:rPr>
        <w:t xml:space="preserve">mejoran </w:t>
      </w:r>
      <w:r w:rsidRPr="004A01D3">
        <w:rPr>
          <w:rFonts w:ascii="Arial" w:hAnsi="Arial" w:cs="Arial"/>
          <w:sz w:val="24"/>
          <w:szCs w:val="24"/>
        </w:rPr>
        <w:t>la</w:t>
      </w:r>
      <w:r w:rsidR="004A01D3">
        <w:rPr>
          <w:rFonts w:ascii="Arial" w:hAnsi="Arial" w:cs="Arial"/>
          <w:sz w:val="24"/>
          <w:szCs w:val="24"/>
        </w:rPr>
        <w:t>s garantías de</w:t>
      </w:r>
      <w:r w:rsidRPr="004A01D3">
        <w:rPr>
          <w:rFonts w:ascii="Arial" w:hAnsi="Arial" w:cs="Arial"/>
          <w:sz w:val="24"/>
          <w:szCs w:val="24"/>
        </w:rPr>
        <w:t xml:space="preserve"> independencia de la Fiscalía General del Estado</w:t>
      </w:r>
      <w:r w:rsidR="004A01D3">
        <w:rPr>
          <w:rFonts w:ascii="Arial" w:hAnsi="Arial" w:cs="Arial"/>
          <w:sz w:val="24"/>
          <w:szCs w:val="24"/>
        </w:rPr>
        <w:t xml:space="preserve"> en el ejercicio de sus funciones de promoción de la acción de la justicia</w:t>
      </w:r>
      <w:r w:rsidRPr="004A01D3">
        <w:rPr>
          <w:rFonts w:ascii="Arial" w:hAnsi="Arial" w:cs="Arial"/>
          <w:sz w:val="24"/>
          <w:szCs w:val="24"/>
        </w:rPr>
        <w:t xml:space="preserve">; </w:t>
      </w:r>
      <w:r w:rsidR="004F0178">
        <w:rPr>
          <w:rFonts w:ascii="Arial" w:hAnsi="Arial" w:cs="Arial"/>
          <w:sz w:val="24"/>
          <w:szCs w:val="24"/>
        </w:rPr>
        <w:t>y</w:t>
      </w:r>
    </w:p>
    <w:p w14:paraId="52D047D0" w14:textId="6BF15B41" w:rsidR="003A00ED" w:rsidRDefault="003A00ED" w:rsidP="003D386F">
      <w:pPr>
        <w:pStyle w:val="Prrafodelista"/>
        <w:numPr>
          <w:ilvl w:val="0"/>
          <w:numId w:val="1"/>
        </w:numPr>
        <w:spacing w:before="120" w:after="120"/>
        <w:ind w:left="709" w:hanging="567"/>
        <w:contextualSpacing w:val="0"/>
        <w:jc w:val="both"/>
        <w:rPr>
          <w:rFonts w:ascii="Arial" w:hAnsi="Arial" w:cs="Arial"/>
          <w:sz w:val="24"/>
          <w:szCs w:val="24"/>
        </w:rPr>
      </w:pPr>
      <w:r w:rsidRPr="004A01D3">
        <w:rPr>
          <w:rFonts w:ascii="Arial" w:hAnsi="Arial" w:cs="Arial"/>
          <w:sz w:val="24"/>
          <w:szCs w:val="24"/>
        </w:rPr>
        <w:t xml:space="preserve">se requiere al CGPJ </w:t>
      </w:r>
      <w:r w:rsidR="004A01D3">
        <w:rPr>
          <w:rFonts w:ascii="Arial" w:hAnsi="Arial" w:cs="Arial"/>
          <w:sz w:val="24"/>
          <w:szCs w:val="24"/>
        </w:rPr>
        <w:t xml:space="preserve">que </w:t>
      </w:r>
      <w:r w:rsidR="004564C5">
        <w:rPr>
          <w:rFonts w:ascii="Arial" w:hAnsi="Arial" w:cs="Arial"/>
          <w:sz w:val="24"/>
          <w:szCs w:val="24"/>
        </w:rPr>
        <w:t>apruebe, por mayoría de tres quintos,</w:t>
      </w:r>
      <w:r w:rsidR="004A01D3">
        <w:rPr>
          <w:rFonts w:ascii="Arial" w:hAnsi="Arial" w:cs="Arial"/>
          <w:sz w:val="24"/>
          <w:szCs w:val="24"/>
        </w:rPr>
        <w:t xml:space="preserve"> una propuesta de reforma del sistema de elección de los vocales de procedencia judicial</w:t>
      </w:r>
      <w:r w:rsidR="004F0178">
        <w:rPr>
          <w:rFonts w:ascii="Arial" w:hAnsi="Arial" w:cs="Arial"/>
          <w:sz w:val="24"/>
          <w:szCs w:val="24"/>
        </w:rPr>
        <w:t>, que será trasladada a</w:t>
      </w:r>
      <w:r w:rsidR="003214CA">
        <w:rPr>
          <w:rFonts w:ascii="Arial" w:hAnsi="Arial" w:cs="Arial"/>
          <w:sz w:val="24"/>
          <w:szCs w:val="24"/>
        </w:rPr>
        <w:t>l Gobierno y a</w:t>
      </w:r>
      <w:r w:rsidR="004F0178">
        <w:rPr>
          <w:rFonts w:ascii="Arial" w:hAnsi="Arial" w:cs="Arial"/>
          <w:sz w:val="24"/>
          <w:szCs w:val="24"/>
        </w:rPr>
        <w:t xml:space="preserve"> las Cortes para su debate y, en su caso, tramitación y aprobación.</w:t>
      </w:r>
    </w:p>
    <w:p w14:paraId="1B5FE648" w14:textId="03708D94" w:rsidR="006D5CB5" w:rsidRDefault="006D5CB5" w:rsidP="00A322D2">
      <w:pPr>
        <w:spacing w:before="240" w:after="120"/>
        <w:jc w:val="both"/>
        <w:rPr>
          <w:rFonts w:ascii="Arial" w:hAnsi="Arial" w:cs="Arial"/>
          <w:sz w:val="24"/>
          <w:szCs w:val="24"/>
        </w:rPr>
      </w:pPr>
      <w:r w:rsidRPr="006D5CB5">
        <w:rPr>
          <w:rFonts w:ascii="Arial" w:hAnsi="Arial" w:cs="Arial"/>
          <w:b/>
          <w:bCs/>
          <w:sz w:val="24"/>
          <w:szCs w:val="24"/>
        </w:rPr>
        <w:t>Segundo.-</w:t>
      </w:r>
      <w:r w:rsidRPr="006D5CB5">
        <w:rPr>
          <w:rFonts w:ascii="Arial" w:hAnsi="Arial" w:cs="Arial"/>
          <w:sz w:val="24"/>
          <w:szCs w:val="24"/>
        </w:rPr>
        <w:tab/>
        <w:t xml:space="preserve">Renovar el CGPJ </w:t>
      </w:r>
      <w:r w:rsidRPr="00FB593E">
        <w:rPr>
          <w:rFonts w:ascii="Arial" w:hAnsi="Arial" w:cs="Arial"/>
          <w:sz w:val="24"/>
          <w:szCs w:val="24"/>
        </w:rPr>
        <w:t>conforme a</w:t>
      </w:r>
      <w:r w:rsidR="005C2EA8" w:rsidRPr="00FB593E">
        <w:rPr>
          <w:rFonts w:ascii="Arial" w:hAnsi="Arial" w:cs="Arial"/>
          <w:sz w:val="24"/>
          <w:szCs w:val="24"/>
        </w:rPr>
        <w:t xml:space="preserve"> una lista conjunta de candidatos de perfil profesional e independiente</w:t>
      </w:r>
      <w:r w:rsidR="00F974BB">
        <w:rPr>
          <w:rFonts w:ascii="Arial" w:hAnsi="Arial" w:cs="Arial"/>
          <w:sz w:val="24"/>
          <w:szCs w:val="24"/>
        </w:rPr>
        <w:t xml:space="preserve"> que se adjunta como </w:t>
      </w:r>
      <w:r w:rsidR="00F974BB" w:rsidRPr="00F974BB">
        <w:rPr>
          <w:rFonts w:ascii="Arial" w:hAnsi="Arial" w:cs="Arial"/>
          <w:sz w:val="24"/>
          <w:szCs w:val="24"/>
          <w:u w:val="single"/>
        </w:rPr>
        <w:t>Anexo II</w:t>
      </w:r>
      <w:r w:rsidRPr="00FB593E">
        <w:rPr>
          <w:rFonts w:ascii="Arial" w:hAnsi="Arial" w:cs="Arial"/>
          <w:sz w:val="24"/>
          <w:szCs w:val="24"/>
        </w:rPr>
        <w:t xml:space="preserve">, que </w:t>
      </w:r>
      <w:r w:rsidRPr="006D5CB5">
        <w:rPr>
          <w:rFonts w:ascii="Arial" w:hAnsi="Arial" w:cs="Arial"/>
          <w:sz w:val="24"/>
          <w:szCs w:val="24"/>
        </w:rPr>
        <w:t xml:space="preserve">apoyarán </w:t>
      </w:r>
      <w:r w:rsidR="003214CA">
        <w:rPr>
          <w:rFonts w:ascii="Arial" w:hAnsi="Arial" w:cs="Arial"/>
          <w:sz w:val="24"/>
          <w:szCs w:val="24"/>
        </w:rPr>
        <w:t>los</w:t>
      </w:r>
      <w:r w:rsidRPr="006D5CB5">
        <w:rPr>
          <w:rFonts w:ascii="Arial" w:hAnsi="Arial" w:cs="Arial"/>
          <w:sz w:val="24"/>
          <w:szCs w:val="24"/>
        </w:rPr>
        <w:t xml:space="preserve"> grupos parlamentarios </w:t>
      </w:r>
      <w:r w:rsidR="005C2EA8" w:rsidRPr="00FB593E">
        <w:rPr>
          <w:rFonts w:ascii="Arial" w:hAnsi="Arial" w:cs="Arial"/>
          <w:sz w:val="24"/>
          <w:szCs w:val="24"/>
        </w:rPr>
        <w:t xml:space="preserve">firmantes </w:t>
      </w:r>
      <w:r w:rsidRPr="00FB593E">
        <w:rPr>
          <w:rFonts w:ascii="Arial" w:hAnsi="Arial" w:cs="Arial"/>
          <w:sz w:val="24"/>
          <w:szCs w:val="24"/>
        </w:rPr>
        <w:t xml:space="preserve">en el Congreso </w:t>
      </w:r>
      <w:r w:rsidRPr="006D5CB5">
        <w:rPr>
          <w:rFonts w:ascii="Arial" w:hAnsi="Arial" w:cs="Arial"/>
          <w:sz w:val="24"/>
          <w:szCs w:val="24"/>
        </w:rPr>
        <w:t>y el Senado.</w:t>
      </w:r>
    </w:p>
    <w:p w14:paraId="4AE332FD" w14:textId="59CF55B9" w:rsidR="00A10156" w:rsidRPr="00D80522" w:rsidRDefault="00A10156" w:rsidP="00D80522">
      <w:pPr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D80522">
        <w:rPr>
          <w:rFonts w:ascii="Arial" w:hAnsi="Arial" w:cs="Arial"/>
          <w:sz w:val="24"/>
          <w:szCs w:val="24"/>
        </w:rPr>
        <w:t xml:space="preserve">También se incluye el candidato a la plaza vacante del Tribunal Constitucional que ha de nombrar el Senado. </w:t>
      </w:r>
    </w:p>
    <w:p w14:paraId="49122B54" w14:textId="167ED9C4" w:rsidR="006D5CB5" w:rsidRPr="006D5CB5" w:rsidRDefault="006D5CB5" w:rsidP="006D5CB5">
      <w:pPr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6D5CB5">
        <w:rPr>
          <w:rFonts w:ascii="Arial" w:hAnsi="Arial" w:cs="Arial"/>
          <w:sz w:val="24"/>
          <w:szCs w:val="24"/>
        </w:rPr>
        <w:t xml:space="preserve">Las personas </w:t>
      </w:r>
      <w:r w:rsidR="005C2EA8">
        <w:rPr>
          <w:rFonts w:ascii="Arial" w:hAnsi="Arial" w:cs="Arial"/>
          <w:sz w:val="24"/>
          <w:szCs w:val="24"/>
        </w:rPr>
        <w:t xml:space="preserve">propuestas </w:t>
      </w:r>
      <w:r w:rsidRPr="00FB593E">
        <w:rPr>
          <w:rFonts w:ascii="Arial" w:hAnsi="Arial" w:cs="Arial"/>
          <w:sz w:val="24"/>
          <w:szCs w:val="24"/>
        </w:rPr>
        <w:t>cumpl</w:t>
      </w:r>
      <w:r w:rsidR="005C2EA8" w:rsidRPr="00FB593E">
        <w:rPr>
          <w:rFonts w:ascii="Arial" w:hAnsi="Arial" w:cs="Arial"/>
          <w:sz w:val="24"/>
          <w:szCs w:val="24"/>
        </w:rPr>
        <w:t>irán</w:t>
      </w:r>
      <w:r w:rsidRPr="00FB593E">
        <w:rPr>
          <w:rFonts w:ascii="Arial" w:hAnsi="Arial" w:cs="Arial"/>
          <w:sz w:val="24"/>
          <w:szCs w:val="24"/>
        </w:rPr>
        <w:t xml:space="preserve"> </w:t>
      </w:r>
      <w:r w:rsidRPr="006D5CB5">
        <w:rPr>
          <w:rFonts w:ascii="Arial" w:hAnsi="Arial" w:cs="Arial"/>
          <w:sz w:val="24"/>
          <w:szCs w:val="24"/>
        </w:rPr>
        <w:t xml:space="preserve">ya los criterios de independencia e idoneidad establecidos en la Proposición de Ley Orgánica que se expone en el apartado </w:t>
      </w:r>
      <w:r>
        <w:rPr>
          <w:rFonts w:ascii="Arial" w:hAnsi="Arial" w:cs="Arial"/>
          <w:sz w:val="24"/>
          <w:szCs w:val="24"/>
        </w:rPr>
        <w:t>anterior</w:t>
      </w:r>
      <w:r w:rsidRPr="006D5CB5">
        <w:rPr>
          <w:rFonts w:ascii="Arial" w:hAnsi="Arial" w:cs="Arial"/>
          <w:sz w:val="24"/>
          <w:szCs w:val="24"/>
        </w:rPr>
        <w:t>.</w:t>
      </w:r>
    </w:p>
    <w:p w14:paraId="591500D1" w14:textId="31BA4241" w:rsidR="00376AE9" w:rsidRPr="00376AE9" w:rsidRDefault="00376AE9" w:rsidP="00A322D2">
      <w:pPr>
        <w:spacing w:before="240" w:after="120"/>
        <w:jc w:val="both"/>
        <w:rPr>
          <w:rFonts w:ascii="Arial" w:hAnsi="Arial" w:cs="Arial"/>
          <w:sz w:val="24"/>
          <w:szCs w:val="24"/>
        </w:rPr>
      </w:pPr>
      <w:r w:rsidRPr="00376AE9">
        <w:rPr>
          <w:rFonts w:ascii="Arial" w:hAnsi="Arial" w:cs="Arial"/>
          <w:b/>
          <w:bCs/>
          <w:sz w:val="24"/>
          <w:szCs w:val="24"/>
        </w:rPr>
        <w:t>Tercero.-</w:t>
      </w:r>
      <w:r w:rsidRPr="00376AE9">
        <w:rPr>
          <w:rFonts w:ascii="Arial" w:hAnsi="Arial" w:cs="Arial"/>
          <w:sz w:val="24"/>
          <w:szCs w:val="24"/>
        </w:rPr>
        <w:tab/>
      </w:r>
      <w:r w:rsidRPr="00FB593E">
        <w:rPr>
          <w:rFonts w:ascii="Arial" w:hAnsi="Arial" w:cs="Arial"/>
          <w:sz w:val="24"/>
          <w:szCs w:val="24"/>
        </w:rPr>
        <w:t xml:space="preserve">Ambos </w:t>
      </w:r>
      <w:r w:rsidR="005C2EA8" w:rsidRPr="00FB593E">
        <w:rPr>
          <w:rFonts w:ascii="Arial" w:hAnsi="Arial" w:cs="Arial"/>
          <w:sz w:val="24"/>
          <w:szCs w:val="24"/>
        </w:rPr>
        <w:t xml:space="preserve">Grupos Parlamentarios </w:t>
      </w:r>
      <w:r w:rsidR="003214CA">
        <w:rPr>
          <w:rFonts w:ascii="Arial" w:hAnsi="Arial" w:cs="Arial"/>
          <w:sz w:val="24"/>
          <w:szCs w:val="24"/>
        </w:rPr>
        <w:t xml:space="preserve">se comprometen a </w:t>
      </w:r>
      <w:r w:rsidR="005F38E3">
        <w:rPr>
          <w:rFonts w:ascii="Arial" w:hAnsi="Arial" w:cs="Arial"/>
          <w:sz w:val="24"/>
          <w:szCs w:val="24"/>
        </w:rPr>
        <w:t xml:space="preserve">presentar conjuntamente la Proposición de Ley adjunta como Anexo I y </w:t>
      </w:r>
      <w:r w:rsidRPr="00376AE9">
        <w:rPr>
          <w:rFonts w:ascii="Arial" w:hAnsi="Arial" w:cs="Arial"/>
          <w:sz w:val="24"/>
          <w:szCs w:val="24"/>
        </w:rPr>
        <w:t xml:space="preserve">no tramitar ni apoyar ninguna enmienda a esa </w:t>
      </w:r>
      <w:r w:rsidR="004A01D3">
        <w:rPr>
          <w:rFonts w:ascii="Arial" w:hAnsi="Arial" w:cs="Arial"/>
          <w:sz w:val="24"/>
          <w:szCs w:val="24"/>
        </w:rPr>
        <w:t xml:space="preserve">Proposición de </w:t>
      </w:r>
      <w:r w:rsidRPr="00376AE9">
        <w:rPr>
          <w:rFonts w:ascii="Arial" w:hAnsi="Arial" w:cs="Arial"/>
          <w:sz w:val="24"/>
          <w:szCs w:val="24"/>
        </w:rPr>
        <w:t xml:space="preserve">Ley </w:t>
      </w:r>
      <w:r w:rsidR="004A01D3">
        <w:rPr>
          <w:rFonts w:ascii="Arial" w:hAnsi="Arial" w:cs="Arial"/>
          <w:sz w:val="24"/>
          <w:szCs w:val="24"/>
        </w:rPr>
        <w:t xml:space="preserve">Orgánica </w:t>
      </w:r>
      <w:r w:rsidRPr="00376AE9">
        <w:rPr>
          <w:rFonts w:ascii="Arial" w:hAnsi="Arial" w:cs="Arial"/>
          <w:sz w:val="24"/>
          <w:szCs w:val="24"/>
        </w:rPr>
        <w:t>que no vaya firmada conjuntamente.</w:t>
      </w:r>
    </w:p>
    <w:p w14:paraId="15CD40D3" w14:textId="1627FA98" w:rsidR="0028008B" w:rsidRPr="00D80522" w:rsidRDefault="004A01D3" w:rsidP="00A322D2">
      <w:pPr>
        <w:spacing w:before="240" w:after="1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Cuart</w:t>
      </w:r>
      <w:r w:rsidR="0028008B" w:rsidRPr="0028008B">
        <w:rPr>
          <w:rFonts w:ascii="Arial" w:hAnsi="Arial" w:cs="Arial"/>
          <w:b/>
          <w:bCs/>
          <w:sz w:val="24"/>
          <w:szCs w:val="24"/>
        </w:rPr>
        <w:t>o.-</w:t>
      </w:r>
      <w:r w:rsidR="0028008B">
        <w:rPr>
          <w:rFonts w:ascii="Arial" w:hAnsi="Arial" w:cs="Arial"/>
          <w:sz w:val="24"/>
          <w:szCs w:val="24"/>
        </w:rPr>
        <w:tab/>
        <w:t xml:space="preserve">La </w:t>
      </w:r>
      <w:r>
        <w:rPr>
          <w:rFonts w:ascii="Arial" w:hAnsi="Arial" w:cs="Arial"/>
          <w:sz w:val="24"/>
          <w:szCs w:val="24"/>
        </w:rPr>
        <w:t>P</w:t>
      </w:r>
      <w:r w:rsidR="0028008B">
        <w:rPr>
          <w:rFonts w:ascii="Arial" w:hAnsi="Arial" w:cs="Arial"/>
          <w:sz w:val="24"/>
          <w:szCs w:val="24"/>
        </w:rPr>
        <w:t>roposición de Ley Orgánica y los nombres de los candidatos propuestos al CGPJ se presentarán</w:t>
      </w:r>
      <w:r w:rsidR="004F0178">
        <w:rPr>
          <w:rFonts w:ascii="Arial" w:hAnsi="Arial" w:cs="Arial"/>
          <w:sz w:val="24"/>
          <w:szCs w:val="24"/>
        </w:rPr>
        <w:t xml:space="preserve"> de forma conjunta</w:t>
      </w:r>
      <w:r w:rsidR="00D80522" w:rsidRPr="00A7233E">
        <w:rPr>
          <w:rFonts w:ascii="Arial" w:hAnsi="Arial" w:cs="Arial"/>
          <w:sz w:val="24"/>
          <w:szCs w:val="24"/>
        </w:rPr>
        <w:t xml:space="preserve"> </w:t>
      </w:r>
      <w:r w:rsidR="004F0178">
        <w:rPr>
          <w:rFonts w:ascii="Arial" w:hAnsi="Arial" w:cs="Arial"/>
          <w:sz w:val="24"/>
          <w:szCs w:val="24"/>
        </w:rPr>
        <w:t>en el registro de la cámara que corre</w:t>
      </w:r>
      <w:r w:rsidR="004F0178" w:rsidRPr="00D80522">
        <w:rPr>
          <w:rFonts w:ascii="Arial" w:hAnsi="Arial" w:cs="Arial"/>
          <w:sz w:val="24"/>
          <w:szCs w:val="24"/>
        </w:rPr>
        <w:t>sponda</w:t>
      </w:r>
      <w:r w:rsidR="0028008B" w:rsidRPr="00D80522">
        <w:rPr>
          <w:rFonts w:ascii="Arial" w:hAnsi="Arial" w:cs="Arial"/>
          <w:sz w:val="24"/>
          <w:szCs w:val="24"/>
        </w:rPr>
        <w:t>.</w:t>
      </w:r>
    </w:p>
    <w:p w14:paraId="623E1388" w14:textId="61168CE7" w:rsidR="00955114" w:rsidRPr="00D80522" w:rsidRDefault="00955114" w:rsidP="00A322D2">
      <w:pPr>
        <w:spacing w:before="240" w:after="120"/>
        <w:jc w:val="both"/>
        <w:rPr>
          <w:rFonts w:ascii="Arial" w:hAnsi="Arial" w:cs="Arial"/>
          <w:sz w:val="24"/>
          <w:szCs w:val="24"/>
        </w:rPr>
      </w:pPr>
      <w:r w:rsidRPr="00D80522">
        <w:rPr>
          <w:rFonts w:ascii="Arial" w:hAnsi="Arial" w:cs="Arial"/>
          <w:b/>
          <w:bCs/>
          <w:sz w:val="24"/>
          <w:szCs w:val="24"/>
        </w:rPr>
        <w:t>Quinto.-</w:t>
      </w:r>
      <w:r w:rsidRPr="00D80522">
        <w:rPr>
          <w:rFonts w:ascii="Arial" w:hAnsi="Arial" w:cs="Arial"/>
          <w:sz w:val="24"/>
          <w:szCs w:val="24"/>
        </w:rPr>
        <w:t xml:space="preserve"> </w:t>
      </w:r>
      <w:r w:rsidR="00D80522" w:rsidRPr="00D80522">
        <w:rPr>
          <w:rFonts w:ascii="Arial" w:hAnsi="Arial" w:cs="Arial"/>
          <w:sz w:val="24"/>
          <w:szCs w:val="24"/>
        </w:rPr>
        <w:tab/>
      </w:r>
      <w:r w:rsidRPr="00D80522">
        <w:rPr>
          <w:rFonts w:ascii="Arial" w:hAnsi="Arial" w:cs="Arial"/>
          <w:sz w:val="24"/>
          <w:szCs w:val="24"/>
        </w:rPr>
        <w:t>L</w:t>
      </w:r>
      <w:r w:rsidR="00D80522">
        <w:rPr>
          <w:rFonts w:ascii="Arial" w:hAnsi="Arial" w:cs="Arial"/>
          <w:sz w:val="24"/>
          <w:szCs w:val="24"/>
        </w:rPr>
        <w:t>o</w:t>
      </w:r>
      <w:r w:rsidR="00D80522" w:rsidRPr="00D80522">
        <w:rPr>
          <w:rFonts w:ascii="Arial" w:hAnsi="Arial" w:cs="Arial"/>
          <w:sz w:val="24"/>
          <w:szCs w:val="24"/>
        </w:rPr>
        <w:t xml:space="preserve">s </w:t>
      </w:r>
      <w:r w:rsidR="00D80522">
        <w:rPr>
          <w:rFonts w:ascii="Arial" w:hAnsi="Arial" w:cs="Arial"/>
          <w:sz w:val="24"/>
          <w:szCs w:val="24"/>
        </w:rPr>
        <w:t>grupos parlamentarios</w:t>
      </w:r>
      <w:r w:rsidR="00D80522" w:rsidRPr="00D80522">
        <w:rPr>
          <w:rFonts w:ascii="Arial" w:hAnsi="Arial" w:cs="Arial"/>
          <w:sz w:val="24"/>
          <w:szCs w:val="24"/>
        </w:rPr>
        <w:t xml:space="preserve"> ordenarán el calendario de tal manera que la aprobación de la</w:t>
      </w:r>
      <w:r w:rsidRPr="00D80522">
        <w:rPr>
          <w:rFonts w:ascii="Arial" w:hAnsi="Arial" w:cs="Arial"/>
          <w:sz w:val="24"/>
          <w:szCs w:val="24"/>
        </w:rPr>
        <w:t xml:space="preserve"> Proposición de Ley Orgánica </w:t>
      </w:r>
      <w:r w:rsidR="00D80522">
        <w:rPr>
          <w:rFonts w:ascii="Arial" w:hAnsi="Arial" w:cs="Arial"/>
          <w:sz w:val="24"/>
          <w:szCs w:val="24"/>
        </w:rPr>
        <w:t xml:space="preserve">en el Congreso, </w:t>
      </w:r>
      <w:r w:rsidRPr="00D80522">
        <w:rPr>
          <w:rFonts w:ascii="Arial" w:hAnsi="Arial" w:cs="Arial"/>
          <w:sz w:val="24"/>
          <w:szCs w:val="24"/>
        </w:rPr>
        <w:t xml:space="preserve">los candidatos </w:t>
      </w:r>
      <w:r w:rsidR="00F974BB">
        <w:rPr>
          <w:rFonts w:ascii="Arial" w:hAnsi="Arial" w:cs="Arial"/>
          <w:sz w:val="24"/>
          <w:szCs w:val="24"/>
        </w:rPr>
        <w:t xml:space="preserve">a vocales de Consejo General del Poder Judicial </w:t>
      </w:r>
      <w:r w:rsidR="00D80522">
        <w:rPr>
          <w:rFonts w:ascii="Arial" w:hAnsi="Arial" w:cs="Arial"/>
          <w:sz w:val="24"/>
          <w:szCs w:val="24"/>
        </w:rPr>
        <w:t xml:space="preserve">en el Congreso y en el Senado y el candidato a la vacante del Tribunal Constitucional </w:t>
      </w:r>
      <w:r w:rsidRPr="00D80522">
        <w:rPr>
          <w:rFonts w:ascii="Arial" w:hAnsi="Arial" w:cs="Arial"/>
          <w:sz w:val="24"/>
          <w:szCs w:val="24"/>
        </w:rPr>
        <w:t xml:space="preserve">se aprobarán </w:t>
      </w:r>
      <w:r w:rsidR="00D80522" w:rsidRPr="00D80522">
        <w:rPr>
          <w:rFonts w:ascii="Arial" w:hAnsi="Arial" w:cs="Arial"/>
          <w:sz w:val="24"/>
          <w:szCs w:val="24"/>
        </w:rPr>
        <w:t>en la misma semana</w:t>
      </w:r>
      <w:r w:rsidR="00D80522">
        <w:rPr>
          <w:rFonts w:ascii="Arial" w:hAnsi="Arial" w:cs="Arial"/>
          <w:sz w:val="24"/>
          <w:szCs w:val="24"/>
        </w:rPr>
        <w:t xml:space="preserve"> del mes de julio, idealmente el mismo día.</w:t>
      </w:r>
    </w:p>
    <w:p w14:paraId="7E3C8B88" w14:textId="143EB700" w:rsidR="00376AE9" w:rsidRDefault="00955114" w:rsidP="00A322D2">
      <w:pPr>
        <w:spacing w:before="240" w:after="1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Sexto</w:t>
      </w:r>
      <w:r w:rsidR="00F96867" w:rsidRPr="00F96867">
        <w:rPr>
          <w:rFonts w:ascii="Arial" w:hAnsi="Arial" w:cs="Arial"/>
          <w:b/>
          <w:bCs/>
          <w:sz w:val="24"/>
          <w:szCs w:val="24"/>
        </w:rPr>
        <w:t>.-</w:t>
      </w:r>
      <w:r w:rsidR="00F96867">
        <w:rPr>
          <w:rFonts w:ascii="Arial" w:hAnsi="Arial" w:cs="Arial"/>
          <w:sz w:val="24"/>
          <w:szCs w:val="24"/>
        </w:rPr>
        <w:tab/>
        <w:t>El Presidente del CGPJ y del Tribunal Supremo será aquel que decidan los miembros del CGPJ</w:t>
      </w:r>
      <w:r w:rsidR="004564C5">
        <w:rPr>
          <w:rFonts w:ascii="Arial" w:hAnsi="Arial" w:cs="Arial"/>
          <w:sz w:val="24"/>
          <w:szCs w:val="24"/>
        </w:rPr>
        <w:t xml:space="preserve">, tal y como dispone </w:t>
      </w:r>
      <w:r w:rsidR="00F96867">
        <w:rPr>
          <w:rFonts w:ascii="Arial" w:hAnsi="Arial" w:cs="Arial"/>
          <w:sz w:val="24"/>
          <w:szCs w:val="24"/>
        </w:rPr>
        <w:t>la ley.</w:t>
      </w:r>
    </w:p>
    <w:p w14:paraId="73C1D90A" w14:textId="77777777" w:rsidR="004F0178" w:rsidRDefault="004F0178" w:rsidP="004F0178">
      <w:pPr>
        <w:spacing w:before="120" w:after="120"/>
        <w:jc w:val="both"/>
        <w:rPr>
          <w:rFonts w:ascii="Arial" w:hAnsi="Arial" w:cs="Arial"/>
          <w:sz w:val="24"/>
          <w:szCs w:val="24"/>
        </w:rPr>
      </w:pPr>
    </w:p>
    <w:p w14:paraId="6EB03F8E" w14:textId="77777777" w:rsidR="009E7089" w:rsidRDefault="009E7089" w:rsidP="004F0178">
      <w:pPr>
        <w:spacing w:before="120" w:after="120"/>
        <w:jc w:val="both"/>
        <w:rPr>
          <w:rFonts w:ascii="Arial" w:hAnsi="Arial" w:cs="Arial"/>
          <w:sz w:val="24"/>
          <w:szCs w:val="24"/>
        </w:rPr>
        <w:sectPr w:rsidR="009E7089" w:rsidSect="003D386F">
          <w:headerReference w:type="default" r:id="rId8"/>
          <w:footerReference w:type="default" r:id="rId9"/>
          <w:pgSz w:w="11906" w:h="16838"/>
          <w:pgMar w:top="973" w:right="1701" w:bottom="1276" w:left="1701" w:header="708" w:footer="550" w:gutter="0"/>
          <w:cols w:space="708"/>
          <w:docGrid w:linePitch="360"/>
        </w:sectPr>
      </w:pPr>
    </w:p>
    <w:p w14:paraId="54A0895D" w14:textId="77777777" w:rsidR="005F38E3" w:rsidRDefault="005F38E3" w:rsidP="004564C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6D2111C" w14:textId="77777777" w:rsidR="006F7532" w:rsidRDefault="006F7532" w:rsidP="004564C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A830C37" w14:textId="100C66D7" w:rsidR="004F0178" w:rsidRPr="00FB593E" w:rsidRDefault="003214CA" w:rsidP="004564C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B593E">
        <w:rPr>
          <w:rFonts w:ascii="Arial" w:hAnsi="Arial" w:cs="Arial"/>
          <w:sz w:val="24"/>
          <w:szCs w:val="24"/>
        </w:rPr>
        <w:t>Félix Bolaños</w:t>
      </w:r>
      <w:r w:rsidRPr="00FB593E">
        <w:rPr>
          <w:rFonts w:ascii="Arial" w:hAnsi="Arial" w:cs="Arial"/>
          <w:sz w:val="24"/>
          <w:szCs w:val="24"/>
        </w:rPr>
        <w:tab/>
      </w:r>
      <w:r w:rsidR="004F0178" w:rsidRPr="00FB593E">
        <w:rPr>
          <w:rFonts w:ascii="Arial" w:hAnsi="Arial" w:cs="Arial"/>
          <w:sz w:val="24"/>
          <w:szCs w:val="24"/>
        </w:rPr>
        <w:t xml:space="preserve"> </w:t>
      </w:r>
    </w:p>
    <w:p w14:paraId="10788DE6" w14:textId="18B274CC" w:rsidR="004F0178" w:rsidRPr="00FB593E" w:rsidRDefault="005C2EA8" w:rsidP="004564C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B593E">
        <w:rPr>
          <w:rFonts w:ascii="Arial" w:hAnsi="Arial" w:cs="Arial"/>
          <w:sz w:val="24"/>
          <w:szCs w:val="24"/>
        </w:rPr>
        <w:t xml:space="preserve">Diputado </w:t>
      </w:r>
      <w:r w:rsidR="003214CA" w:rsidRPr="00FB593E">
        <w:rPr>
          <w:rFonts w:ascii="Arial" w:hAnsi="Arial" w:cs="Arial"/>
          <w:sz w:val="24"/>
          <w:szCs w:val="24"/>
        </w:rPr>
        <w:t>PSOE</w:t>
      </w:r>
    </w:p>
    <w:p w14:paraId="7286DF73" w14:textId="77777777" w:rsidR="005F38E3" w:rsidRPr="00FB593E" w:rsidRDefault="005F38E3" w:rsidP="004564C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77D6587" w14:textId="77777777" w:rsidR="006F7532" w:rsidRDefault="006F7532" w:rsidP="004564C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BE86407" w14:textId="03E73232" w:rsidR="004F0178" w:rsidRPr="00FB593E" w:rsidRDefault="003214CA" w:rsidP="004564C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B593E">
        <w:rPr>
          <w:rFonts w:ascii="Arial" w:hAnsi="Arial" w:cs="Arial"/>
          <w:sz w:val="24"/>
          <w:szCs w:val="24"/>
        </w:rPr>
        <w:t>Esteban González Pons</w:t>
      </w:r>
    </w:p>
    <w:p w14:paraId="1D525895" w14:textId="0D2949AD" w:rsidR="004F0178" w:rsidRDefault="005C2EA8" w:rsidP="004564C5">
      <w:pPr>
        <w:spacing w:after="0" w:line="240" w:lineRule="auto"/>
        <w:jc w:val="both"/>
        <w:rPr>
          <w:rFonts w:ascii="Arial" w:hAnsi="Arial" w:cs="Arial"/>
          <w:sz w:val="24"/>
          <w:szCs w:val="24"/>
        </w:rPr>
        <w:sectPr w:rsidR="004F0178" w:rsidSect="004F0178">
          <w:type w:val="continuous"/>
          <w:pgSz w:w="11906" w:h="16838"/>
          <w:pgMar w:top="973" w:right="1701" w:bottom="1276" w:left="1701" w:header="708" w:footer="550" w:gutter="0"/>
          <w:cols w:num="2" w:space="708"/>
          <w:docGrid w:linePitch="360"/>
        </w:sectPr>
      </w:pPr>
      <w:r w:rsidRPr="00FB593E">
        <w:rPr>
          <w:rFonts w:ascii="Arial" w:hAnsi="Arial" w:cs="Arial"/>
          <w:sz w:val="24"/>
          <w:szCs w:val="24"/>
        </w:rPr>
        <w:t xml:space="preserve">Diputado </w:t>
      </w:r>
      <w:r w:rsidR="003214CA">
        <w:rPr>
          <w:rFonts w:ascii="Arial" w:hAnsi="Arial" w:cs="Arial"/>
          <w:sz w:val="24"/>
          <w:szCs w:val="24"/>
        </w:rPr>
        <w:t>PP</w:t>
      </w:r>
    </w:p>
    <w:p w14:paraId="7B1CFF4D" w14:textId="18D9F26C" w:rsidR="003D386F" w:rsidRDefault="003D386F" w:rsidP="004F0178">
      <w:pPr>
        <w:spacing w:before="120" w:after="120"/>
        <w:jc w:val="both"/>
        <w:rPr>
          <w:rFonts w:ascii="Arial" w:hAnsi="Arial" w:cs="Arial"/>
          <w:sz w:val="24"/>
          <w:szCs w:val="24"/>
        </w:rPr>
      </w:pPr>
    </w:p>
    <w:p w14:paraId="7C35E2A9" w14:textId="3A456DE6" w:rsidR="007E4170" w:rsidRDefault="007E4170" w:rsidP="004F0178">
      <w:pPr>
        <w:spacing w:before="120" w:after="120"/>
        <w:jc w:val="both"/>
        <w:rPr>
          <w:rFonts w:ascii="Arial" w:hAnsi="Arial" w:cs="Arial"/>
          <w:sz w:val="24"/>
          <w:szCs w:val="24"/>
        </w:rPr>
      </w:pPr>
    </w:p>
    <w:p w14:paraId="1495D7D1" w14:textId="494D5161" w:rsidR="007E4170" w:rsidRPr="003D386F" w:rsidRDefault="00BB3217" w:rsidP="004F0178">
      <w:pPr>
        <w:spacing w:before="120" w:after="1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representación de la Comisión Europea, que ha acompañado las conversaciones previas a este pacto, asiste a la firma de este acuerdo </w:t>
      </w:r>
      <w:r w:rsidR="006F7532">
        <w:rPr>
          <w:rFonts w:ascii="Arial" w:hAnsi="Arial" w:cs="Arial"/>
          <w:sz w:val="24"/>
          <w:szCs w:val="24"/>
        </w:rPr>
        <w:t xml:space="preserve">la Vicepresidenta de Valores y Transparencia, </w:t>
      </w:r>
      <w:proofErr w:type="spellStart"/>
      <w:r w:rsidR="006F7532" w:rsidRPr="006F7532">
        <w:rPr>
          <w:rFonts w:ascii="Arial" w:hAnsi="Arial" w:cs="Arial"/>
          <w:sz w:val="24"/>
          <w:szCs w:val="24"/>
        </w:rPr>
        <w:t>Věra</w:t>
      </w:r>
      <w:proofErr w:type="spellEnd"/>
      <w:r w:rsidR="006F7532" w:rsidRPr="006F753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7532" w:rsidRPr="006F7532">
        <w:rPr>
          <w:rFonts w:ascii="Arial" w:hAnsi="Arial" w:cs="Arial"/>
          <w:sz w:val="24"/>
          <w:szCs w:val="24"/>
        </w:rPr>
        <w:t>Jourová</w:t>
      </w:r>
      <w:proofErr w:type="spellEnd"/>
      <w:r w:rsidR="006F7532">
        <w:rPr>
          <w:rFonts w:ascii="Arial" w:hAnsi="Arial" w:cs="Arial"/>
          <w:sz w:val="24"/>
          <w:szCs w:val="24"/>
        </w:rPr>
        <w:t>.</w:t>
      </w:r>
    </w:p>
    <w:sectPr w:rsidR="007E4170" w:rsidRPr="003D386F" w:rsidSect="004F0178">
      <w:type w:val="continuous"/>
      <w:pgSz w:w="11906" w:h="16838"/>
      <w:pgMar w:top="973" w:right="1701" w:bottom="1276" w:left="1701" w:header="708" w:footer="5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3731B" w14:textId="77777777" w:rsidR="003D7CD2" w:rsidRDefault="003D7CD2" w:rsidP="003D386F">
      <w:pPr>
        <w:spacing w:after="0" w:line="240" w:lineRule="auto"/>
      </w:pPr>
      <w:r>
        <w:separator/>
      </w:r>
    </w:p>
  </w:endnote>
  <w:endnote w:type="continuationSeparator" w:id="0">
    <w:p w14:paraId="53E81A51" w14:textId="77777777" w:rsidR="003D7CD2" w:rsidRDefault="003D7CD2" w:rsidP="003D3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4999750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629C9B01" w14:textId="1273930B" w:rsidR="00D80522" w:rsidRPr="00D80522" w:rsidRDefault="00D80522">
        <w:pPr>
          <w:pStyle w:val="Piedepgina"/>
          <w:jc w:val="center"/>
          <w:rPr>
            <w:rFonts w:ascii="Arial" w:hAnsi="Arial" w:cs="Arial"/>
          </w:rPr>
        </w:pPr>
        <w:r w:rsidRPr="00D80522">
          <w:rPr>
            <w:rFonts w:ascii="Arial" w:hAnsi="Arial" w:cs="Arial"/>
          </w:rPr>
          <w:fldChar w:fldCharType="begin"/>
        </w:r>
        <w:r w:rsidRPr="00D80522">
          <w:rPr>
            <w:rFonts w:ascii="Arial" w:hAnsi="Arial" w:cs="Arial"/>
          </w:rPr>
          <w:instrText>PAGE   \* MERGEFORMAT</w:instrText>
        </w:r>
        <w:r w:rsidRPr="00D80522">
          <w:rPr>
            <w:rFonts w:ascii="Arial" w:hAnsi="Arial" w:cs="Arial"/>
          </w:rPr>
          <w:fldChar w:fldCharType="separate"/>
        </w:r>
        <w:r w:rsidRPr="00D80522">
          <w:rPr>
            <w:rFonts w:ascii="Arial" w:hAnsi="Arial" w:cs="Arial"/>
          </w:rPr>
          <w:t>2</w:t>
        </w:r>
        <w:r w:rsidRPr="00D80522">
          <w:rPr>
            <w:rFonts w:ascii="Arial" w:hAnsi="Arial" w:cs="Arial"/>
          </w:rPr>
          <w:fldChar w:fldCharType="end"/>
        </w:r>
      </w:p>
    </w:sdtContent>
  </w:sdt>
  <w:p w14:paraId="2AAE95A7" w14:textId="77777777" w:rsidR="00D80522" w:rsidRDefault="00D8052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3D8ED8" w14:textId="77777777" w:rsidR="003D7CD2" w:rsidRDefault="003D7CD2" w:rsidP="003D386F">
      <w:pPr>
        <w:spacing w:after="0" w:line="240" w:lineRule="auto"/>
      </w:pPr>
      <w:r>
        <w:separator/>
      </w:r>
    </w:p>
  </w:footnote>
  <w:footnote w:type="continuationSeparator" w:id="0">
    <w:p w14:paraId="4E19DAAD" w14:textId="77777777" w:rsidR="003D7CD2" w:rsidRDefault="003D7CD2" w:rsidP="003D3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82275" w14:textId="0DC1E4CB" w:rsidR="008409C3" w:rsidRDefault="008409C3">
    <w:pPr>
      <w:pStyle w:val="Encabezado"/>
    </w:pPr>
  </w:p>
  <w:tbl>
    <w:tblPr>
      <w:tblStyle w:val="Tablaconcuadrcula"/>
      <w:tblW w:w="9490" w:type="dxa"/>
      <w:tblInd w:w="-5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36"/>
      <w:gridCol w:w="4854"/>
    </w:tblGrid>
    <w:tr w:rsidR="008409C3" w14:paraId="669671A2" w14:textId="77777777" w:rsidTr="001D0544">
      <w:trPr>
        <w:trHeight w:val="1633"/>
      </w:trPr>
      <w:tc>
        <w:tcPr>
          <w:tcW w:w="4636" w:type="dxa"/>
        </w:tcPr>
        <w:p w14:paraId="396ED119" w14:textId="77777777" w:rsidR="008409C3" w:rsidRDefault="008409C3" w:rsidP="008409C3">
          <w:pPr>
            <w:pStyle w:val="Encabezado"/>
          </w:pPr>
          <w:r>
            <w:rPr>
              <w:noProof/>
            </w:rPr>
            <w:drawing>
              <wp:inline distT="0" distB="0" distL="0" distR="0" wp14:anchorId="3492437F" wp14:editId="6A342B56">
                <wp:extent cx="2324100" cy="644525"/>
                <wp:effectExtent l="0" t="0" r="0" b="317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24100" cy="644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54" w:type="dxa"/>
        </w:tcPr>
        <w:p w14:paraId="6B5889D1" w14:textId="77777777" w:rsidR="008409C3" w:rsidRDefault="008409C3" w:rsidP="008409C3">
          <w:pPr>
            <w:pStyle w:val="Encabezado"/>
            <w:jc w:val="right"/>
          </w:pPr>
          <w:r>
            <w:rPr>
              <w:noProof/>
            </w:rPr>
            <w:drawing>
              <wp:inline distT="0" distB="0" distL="0" distR="0" wp14:anchorId="6E6F7807" wp14:editId="455C9310">
                <wp:extent cx="2790825" cy="952500"/>
                <wp:effectExtent l="0" t="0" r="9525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90825" cy="952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3EABF9AF" w14:textId="77777777" w:rsidR="008409C3" w:rsidRPr="00C24058" w:rsidRDefault="008409C3" w:rsidP="008409C3">
          <w:pPr>
            <w:jc w:val="center"/>
          </w:pPr>
        </w:p>
      </w:tc>
    </w:tr>
  </w:tbl>
  <w:p w14:paraId="168BC23A" w14:textId="77777777" w:rsidR="008409C3" w:rsidRDefault="008409C3" w:rsidP="008409C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B12E1B"/>
    <w:multiLevelType w:val="hybridMultilevel"/>
    <w:tmpl w:val="B5D8B70A"/>
    <w:lvl w:ilvl="0" w:tplc="55284C1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1392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E39"/>
    <w:rsid w:val="000B5508"/>
    <w:rsid w:val="00144E39"/>
    <w:rsid w:val="001A2A22"/>
    <w:rsid w:val="0028008B"/>
    <w:rsid w:val="003214CA"/>
    <w:rsid w:val="00376AE9"/>
    <w:rsid w:val="003A00ED"/>
    <w:rsid w:val="003D386F"/>
    <w:rsid w:val="003D7CD2"/>
    <w:rsid w:val="003E10CA"/>
    <w:rsid w:val="00400A1E"/>
    <w:rsid w:val="00424396"/>
    <w:rsid w:val="004564C5"/>
    <w:rsid w:val="004A01D3"/>
    <w:rsid w:val="004F0178"/>
    <w:rsid w:val="005117ED"/>
    <w:rsid w:val="005C2EA8"/>
    <w:rsid w:val="005C4083"/>
    <w:rsid w:val="005F38E3"/>
    <w:rsid w:val="006807CF"/>
    <w:rsid w:val="006824F2"/>
    <w:rsid w:val="006B29AF"/>
    <w:rsid w:val="006D5CB5"/>
    <w:rsid w:val="006F7532"/>
    <w:rsid w:val="007158C5"/>
    <w:rsid w:val="00755184"/>
    <w:rsid w:val="007E4170"/>
    <w:rsid w:val="007F06E5"/>
    <w:rsid w:val="008409C3"/>
    <w:rsid w:val="008973BD"/>
    <w:rsid w:val="00907FF1"/>
    <w:rsid w:val="00955114"/>
    <w:rsid w:val="009E7089"/>
    <w:rsid w:val="00A00722"/>
    <w:rsid w:val="00A018E5"/>
    <w:rsid w:val="00A10156"/>
    <w:rsid w:val="00A322D2"/>
    <w:rsid w:val="00A7233E"/>
    <w:rsid w:val="00B2232E"/>
    <w:rsid w:val="00B56FEA"/>
    <w:rsid w:val="00BB3217"/>
    <w:rsid w:val="00C343D8"/>
    <w:rsid w:val="00C348C8"/>
    <w:rsid w:val="00C8424A"/>
    <w:rsid w:val="00CB36FD"/>
    <w:rsid w:val="00CC641C"/>
    <w:rsid w:val="00CD11DA"/>
    <w:rsid w:val="00CE3E5E"/>
    <w:rsid w:val="00D644A2"/>
    <w:rsid w:val="00D67A7E"/>
    <w:rsid w:val="00D80522"/>
    <w:rsid w:val="00D915F2"/>
    <w:rsid w:val="00DD48ED"/>
    <w:rsid w:val="00EB6C7A"/>
    <w:rsid w:val="00F57E14"/>
    <w:rsid w:val="00F81432"/>
    <w:rsid w:val="00F96867"/>
    <w:rsid w:val="00F974BB"/>
    <w:rsid w:val="00FB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4488D3B"/>
  <w15:chartTrackingRefBased/>
  <w15:docId w15:val="{3AA589DB-71ED-41AB-9B38-A7ED9CBBB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A01D3"/>
    <w:pPr>
      <w:ind w:left="720"/>
      <w:contextualSpacing/>
    </w:pPr>
  </w:style>
  <w:style w:type="table" w:styleId="Tablaconcuadrcula">
    <w:name w:val="Table Grid"/>
    <w:basedOn w:val="Tablanormal"/>
    <w:uiPriority w:val="39"/>
    <w:rsid w:val="003D3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D38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386F"/>
  </w:style>
  <w:style w:type="paragraph" w:styleId="Piedepgina">
    <w:name w:val="footer"/>
    <w:basedOn w:val="Normal"/>
    <w:link w:val="PiedepginaCar"/>
    <w:uiPriority w:val="99"/>
    <w:unhideWhenUsed/>
    <w:rsid w:val="003D38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386F"/>
  </w:style>
  <w:style w:type="paragraph" w:styleId="Textodeglobo">
    <w:name w:val="Balloon Text"/>
    <w:basedOn w:val="Normal"/>
    <w:link w:val="TextodegloboCar"/>
    <w:uiPriority w:val="99"/>
    <w:semiHidden/>
    <w:unhideWhenUsed/>
    <w:rsid w:val="008409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9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 /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DE9DAE-7C81-4BC5-826A-17B11966238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Cera Guerrero, Maria Eugenia De La</cp:lastModifiedBy>
  <cp:revision>2</cp:revision>
  <cp:lastPrinted>2022-10-26T20:37:00Z</cp:lastPrinted>
  <dcterms:created xsi:type="dcterms:W3CDTF">2024-06-25T15:18:00Z</dcterms:created>
  <dcterms:modified xsi:type="dcterms:W3CDTF">2024-06-25T15:18:00Z</dcterms:modified>
</cp:coreProperties>
</file>